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18042" w14:textId="77777777" w:rsidR="001F4883" w:rsidRDefault="001F4883" w:rsidP="00D869EC">
      <w:pPr>
        <w:jc w:val="right"/>
      </w:pPr>
    </w:p>
    <w:p w14:paraId="73CA505B" w14:textId="087A36C6" w:rsidR="005E09D7" w:rsidRPr="00826244" w:rsidRDefault="00826244" w:rsidP="005E09D7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proofErr w:type="spellStart"/>
      <w:r w:rsidRPr="00826244">
        <w:rPr>
          <w:rFonts w:asciiTheme="minorHAnsi" w:hAnsiTheme="minorHAnsi"/>
          <w:b/>
          <w:bCs/>
          <w:sz w:val="32"/>
          <w:szCs w:val="32"/>
          <w:u w:val="single"/>
        </w:rPr>
        <w:t>Pädagogische</w:t>
      </w:r>
      <w:proofErr w:type="spellEnd"/>
      <w:r w:rsidRPr="00826244">
        <w:rPr>
          <w:rFonts w:asciiTheme="minorHAnsi" w:hAnsiTheme="minorHAnsi"/>
          <w:b/>
          <w:bCs/>
          <w:sz w:val="32"/>
          <w:szCs w:val="32"/>
          <w:u w:val="single"/>
        </w:rPr>
        <w:t xml:space="preserve"> Maßnahmen und Ordnungsmaßnahmen</w:t>
      </w:r>
    </w:p>
    <w:p w14:paraId="22866B13" w14:textId="77777777" w:rsidR="000B2093" w:rsidRPr="00826244" w:rsidRDefault="000B2093" w:rsidP="00826244">
      <w:pPr>
        <w:pStyle w:val="StandardWeb"/>
        <w:jc w:val="both"/>
        <w:rPr>
          <w:rFonts w:asciiTheme="minorHAnsi" w:hAnsiTheme="minorHAnsi"/>
          <w:sz w:val="28"/>
          <w:szCs w:val="28"/>
        </w:rPr>
      </w:pPr>
      <w:r w:rsidRPr="00826244">
        <w:rPr>
          <w:rFonts w:asciiTheme="minorHAnsi" w:hAnsiTheme="minorHAnsi"/>
          <w:b/>
          <w:bCs/>
        </w:rPr>
        <w:t xml:space="preserve">§ 82 </w:t>
      </w:r>
      <w:proofErr w:type="spellStart"/>
      <w:r w:rsidRPr="00826244">
        <w:rPr>
          <w:rFonts w:asciiTheme="minorHAnsi" w:hAnsiTheme="minorHAnsi"/>
          <w:b/>
          <w:bCs/>
        </w:rPr>
        <w:t>HSchG</w:t>
      </w:r>
      <w:proofErr w:type="spellEnd"/>
      <w:r w:rsidRPr="00826244">
        <w:rPr>
          <w:rFonts w:asciiTheme="minorHAnsi" w:hAnsiTheme="minorHAnsi"/>
          <w:b/>
          <w:bCs/>
        </w:rPr>
        <w:t xml:space="preserve"> - </w:t>
      </w:r>
      <w:proofErr w:type="spellStart"/>
      <w:r w:rsidRPr="00826244">
        <w:rPr>
          <w:rFonts w:asciiTheme="minorHAnsi" w:hAnsiTheme="minorHAnsi"/>
          <w:b/>
          <w:bCs/>
        </w:rPr>
        <w:t>Pädagogische</w:t>
      </w:r>
      <w:proofErr w:type="spellEnd"/>
      <w:r w:rsidRPr="00826244">
        <w:rPr>
          <w:rFonts w:asciiTheme="minorHAnsi" w:hAnsiTheme="minorHAnsi"/>
          <w:b/>
          <w:bCs/>
        </w:rPr>
        <w:t xml:space="preserve"> Maßnahmen und Ordnungsmaßnahmen </w:t>
      </w:r>
    </w:p>
    <w:p w14:paraId="19C68A8D" w14:textId="3616035D" w:rsidR="000B2093" w:rsidRPr="009502A6" w:rsidRDefault="00826244" w:rsidP="00826244">
      <w:pPr>
        <w:pStyle w:val="StandardWeb"/>
        <w:ind w:left="360"/>
        <w:jc w:val="both"/>
        <w:rPr>
          <w:rFonts w:asciiTheme="minorHAnsi" w:hAnsiTheme="minorHAnsi"/>
          <w:i/>
          <w:iCs/>
          <w:szCs w:val="22"/>
        </w:rPr>
      </w:pPr>
      <w:r w:rsidRPr="009502A6">
        <w:rPr>
          <w:rFonts w:asciiTheme="minorHAnsi" w:hAnsiTheme="minorHAnsi"/>
          <w:i/>
          <w:iCs/>
          <w:szCs w:val="22"/>
        </w:rPr>
        <w:t>„</w:t>
      </w:r>
      <w:r w:rsidR="000B2093" w:rsidRPr="009502A6">
        <w:rPr>
          <w:rFonts w:asciiTheme="minorHAnsi" w:hAnsiTheme="minorHAnsi"/>
          <w:i/>
          <w:iCs/>
          <w:szCs w:val="22"/>
        </w:rPr>
        <w:t xml:space="preserve">Die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Erfüllung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des Bildungsauftrages der Schule ist vor allem durch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pädagogische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Maßnahmen zu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gewährleisten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, die der Entwicklung des Lern- und Leistungswillens der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Schülerin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oder des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Schülers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und der Bereitschaft zu verantwortlichem sozialen Handeln nach den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Grundsätzen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der Toleranz, der Gerechtigkeit und der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Solidarität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dienen und </w:t>
      </w:r>
      <w:proofErr w:type="spellStart"/>
      <w:r w:rsidR="000B2093" w:rsidRPr="009502A6">
        <w:rPr>
          <w:rFonts w:asciiTheme="minorHAnsi" w:hAnsiTheme="minorHAnsi"/>
          <w:i/>
          <w:iCs/>
          <w:szCs w:val="22"/>
        </w:rPr>
        <w:t>möglichem</w:t>
      </w:r>
      <w:proofErr w:type="spellEnd"/>
      <w:r w:rsidR="000B2093" w:rsidRPr="009502A6">
        <w:rPr>
          <w:rFonts w:asciiTheme="minorHAnsi" w:hAnsiTheme="minorHAnsi"/>
          <w:i/>
          <w:iCs/>
          <w:szCs w:val="22"/>
        </w:rPr>
        <w:t xml:space="preserve"> Fehlverhalten vorbeugen sollen.</w:t>
      </w:r>
      <w:r w:rsidRPr="009502A6">
        <w:rPr>
          <w:rFonts w:asciiTheme="minorHAnsi" w:hAnsiTheme="minorHAnsi"/>
          <w:i/>
          <w:iCs/>
          <w:szCs w:val="22"/>
        </w:rPr>
        <w:t>“</w:t>
      </w:r>
    </w:p>
    <w:p w14:paraId="7C2398F9" w14:textId="77777777" w:rsidR="00824A52" w:rsidRDefault="00824A52" w:rsidP="00824A5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Arial"/>
          <w:b/>
          <w:bCs/>
          <w:kern w:val="0"/>
          <w:sz w:val="28"/>
          <w:szCs w:val="28"/>
          <w:lang w:eastAsia="de-DE" w:bidi="ar-SA"/>
        </w:rPr>
      </w:pPr>
    </w:p>
    <w:p w14:paraId="1184C195" w14:textId="77777777" w:rsidR="009502A6" w:rsidRDefault="00826244" w:rsidP="00824A5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824A52">
        <w:rPr>
          <w:rFonts w:asciiTheme="minorHAnsi" w:eastAsia="Times New Roman" w:hAnsiTheme="minorHAnsi" w:cs="Arial"/>
          <w:b/>
          <w:bCs/>
          <w:kern w:val="0"/>
          <w:sz w:val="28"/>
          <w:szCs w:val="28"/>
          <w:lang w:eastAsia="de-DE" w:bidi="ar-SA"/>
        </w:rPr>
        <w:t xml:space="preserve">In der konkreten Umsetzung bedeutet dies, dass bei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Unterrichtsstörungen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oder Konflikten auf dem Schulhof als erstes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pädagogische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Maßnahmen angewendet werden. </w:t>
      </w:r>
    </w:p>
    <w:p w14:paraId="6CC85E2B" w14:textId="77777777" w:rsidR="009502A6" w:rsidRDefault="00826244" w:rsidP="00824A5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Dies können </w:t>
      </w:r>
    </w:p>
    <w:p w14:paraId="4BF10544" w14:textId="4FDBF843" w:rsidR="009502A6" w:rsidRDefault="00826244" w:rsidP="009502A6">
      <w:pPr>
        <w:pStyle w:val="Listenabsatz"/>
        <w:numPr>
          <w:ilvl w:val="0"/>
          <w:numId w:val="13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proofErr w:type="spellStart"/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Gespräche</w:t>
      </w:r>
      <w:proofErr w:type="spellEnd"/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mit den </w:t>
      </w:r>
      <w:proofErr w:type="spellStart"/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Schüler</w:t>
      </w:r>
      <w:proofErr w:type="spellEnd"/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*innen und deren Eltern</w:t>
      </w:r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</w:t>
      </w:r>
    </w:p>
    <w:p w14:paraId="7CBF0336" w14:textId="77777777" w:rsidR="009502A6" w:rsidRDefault="00826244" w:rsidP="009502A6">
      <w:pPr>
        <w:pStyle w:val="Listenabsatz"/>
        <w:numPr>
          <w:ilvl w:val="0"/>
          <w:numId w:val="13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eine </w:t>
      </w:r>
      <w:proofErr w:type="spellStart"/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mündliche</w:t>
      </w:r>
      <w:proofErr w:type="spellEnd"/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o</w:t>
      </w:r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der schriftliche Missbilligung</w:t>
      </w:r>
    </w:p>
    <w:p w14:paraId="26C831EC" w14:textId="77777777" w:rsidR="009502A6" w:rsidRDefault="00826244" w:rsidP="009502A6">
      <w:pPr>
        <w:pStyle w:val="Listenabsatz"/>
        <w:numPr>
          <w:ilvl w:val="0"/>
          <w:numId w:val="13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Nachho</w:t>
      </w:r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len von </w:t>
      </w:r>
      <w:proofErr w:type="spellStart"/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versäumten</w:t>
      </w:r>
      <w:proofErr w:type="spellEnd"/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Unterricht</w:t>
      </w:r>
    </w:p>
    <w:p w14:paraId="59D58862" w14:textId="77777777" w:rsidR="009502A6" w:rsidRDefault="00826244" w:rsidP="009502A6">
      <w:pPr>
        <w:pStyle w:val="Listenabsatz"/>
        <w:numPr>
          <w:ilvl w:val="0"/>
          <w:numId w:val="13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Anf</w:t>
      </w:r>
      <w:r w:rsid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ertigen von Besinnungsausätzen</w:t>
      </w:r>
    </w:p>
    <w:p w14:paraId="7AB7F4DE" w14:textId="6FDE0884" w:rsidR="00826244" w:rsidRPr="009502A6" w:rsidRDefault="00826244" w:rsidP="009502A6">
      <w:pPr>
        <w:pStyle w:val="Listenabsatz"/>
        <w:numPr>
          <w:ilvl w:val="0"/>
          <w:numId w:val="13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9502A6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etc., sein.</w:t>
      </w:r>
    </w:p>
    <w:p w14:paraId="2785E6C1" w14:textId="7CB09206" w:rsidR="00826244" w:rsidRPr="00824A52" w:rsidRDefault="00826244" w:rsidP="00824A52">
      <w:p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Jede pädagogische Maßnahme ist in der Schülerakte per kurzer Notiz (siehe Vorlage) abzuheften.</w:t>
      </w:r>
    </w:p>
    <w:p w14:paraId="4D445162" w14:textId="16F09B63" w:rsidR="00826244" w:rsidRPr="00824A52" w:rsidRDefault="00826244" w:rsidP="00824A52">
      <w:p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</w:pPr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Wenn diese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pädagogische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Maßnahmen nicht zum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gewünschten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 Erfolg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führen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, kann die Schule Ordnungsmaßnahmen </w:t>
      </w:r>
      <w:proofErr w:type="spellStart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>verhängen</w:t>
      </w:r>
      <w:proofErr w:type="spellEnd"/>
      <w:r w:rsidRPr="00824A52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de-DE" w:bidi="ar-SA"/>
        </w:rPr>
        <w:t xml:space="preserve">. </w:t>
      </w:r>
    </w:p>
    <w:p w14:paraId="3C70BA7A" w14:textId="77777777" w:rsidR="00826244" w:rsidRDefault="00826244" w:rsidP="00826244">
      <w:pPr>
        <w:pStyle w:val="StandardWeb"/>
        <w:jc w:val="both"/>
        <w:rPr>
          <w:rFonts w:asciiTheme="minorHAnsi" w:hAnsiTheme="minorHAnsi"/>
          <w:b/>
          <w:bCs/>
        </w:rPr>
      </w:pPr>
    </w:p>
    <w:p w14:paraId="7E1E9245" w14:textId="77777777" w:rsidR="00824A52" w:rsidRDefault="00824A52" w:rsidP="00826244">
      <w:pPr>
        <w:pStyle w:val="StandardWeb"/>
        <w:jc w:val="both"/>
        <w:rPr>
          <w:rFonts w:asciiTheme="minorHAnsi" w:hAnsiTheme="minorHAnsi"/>
          <w:b/>
          <w:bCs/>
        </w:rPr>
      </w:pPr>
    </w:p>
    <w:p w14:paraId="6F12A823" w14:textId="77777777" w:rsidR="00824A52" w:rsidRDefault="00824A52" w:rsidP="00826244">
      <w:pPr>
        <w:pStyle w:val="StandardWeb"/>
        <w:jc w:val="both"/>
        <w:rPr>
          <w:rFonts w:asciiTheme="minorHAnsi" w:hAnsiTheme="minorHAnsi"/>
          <w:b/>
          <w:bCs/>
        </w:rPr>
      </w:pPr>
    </w:p>
    <w:p w14:paraId="7A4DB022" w14:textId="77777777" w:rsidR="00824A52" w:rsidRDefault="00824A52" w:rsidP="00826244">
      <w:pPr>
        <w:pStyle w:val="StandardWeb"/>
        <w:jc w:val="both"/>
        <w:rPr>
          <w:rFonts w:asciiTheme="minorHAnsi" w:hAnsiTheme="minorHAnsi"/>
          <w:b/>
          <w:bCs/>
        </w:rPr>
      </w:pPr>
    </w:p>
    <w:p w14:paraId="6D76883E" w14:textId="642BA349" w:rsidR="00826244" w:rsidRPr="00824A52" w:rsidRDefault="00826244" w:rsidP="00826244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824A52">
        <w:rPr>
          <w:rFonts w:asciiTheme="minorHAnsi" w:hAnsiTheme="minorHAnsi"/>
          <w:b/>
          <w:bCs/>
          <w:sz w:val="22"/>
          <w:szCs w:val="22"/>
        </w:rPr>
        <w:lastRenderedPageBreak/>
        <w:t xml:space="preserve">§ 82 </w:t>
      </w:r>
      <w:proofErr w:type="spellStart"/>
      <w:r w:rsidRPr="00824A52">
        <w:rPr>
          <w:rFonts w:asciiTheme="minorHAnsi" w:hAnsiTheme="minorHAnsi"/>
          <w:b/>
          <w:bCs/>
          <w:sz w:val="22"/>
          <w:szCs w:val="22"/>
        </w:rPr>
        <w:t>HSchG</w:t>
      </w:r>
      <w:proofErr w:type="spellEnd"/>
      <w:r w:rsidRPr="00824A52">
        <w:rPr>
          <w:rFonts w:asciiTheme="minorHAnsi" w:hAnsiTheme="minorHAnsi"/>
          <w:b/>
          <w:bCs/>
          <w:sz w:val="22"/>
          <w:szCs w:val="22"/>
        </w:rPr>
        <w:t xml:space="preserve"> - </w:t>
      </w:r>
      <w:proofErr w:type="spellStart"/>
      <w:r w:rsidRPr="00824A52">
        <w:rPr>
          <w:rFonts w:asciiTheme="minorHAnsi" w:hAnsiTheme="minorHAnsi"/>
          <w:b/>
          <w:bCs/>
          <w:sz w:val="22"/>
          <w:szCs w:val="22"/>
        </w:rPr>
        <w:t>Pädagogische</w:t>
      </w:r>
      <w:proofErr w:type="spellEnd"/>
      <w:r w:rsidRPr="00824A52">
        <w:rPr>
          <w:rFonts w:asciiTheme="minorHAnsi" w:hAnsiTheme="minorHAnsi"/>
          <w:b/>
          <w:bCs/>
          <w:sz w:val="22"/>
          <w:szCs w:val="22"/>
        </w:rPr>
        <w:t xml:space="preserve"> Maßnahmen und Ordnungsmaßnahmen </w:t>
      </w:r>
    </w:p>
    <w:p w14:paraId="70BE041C" w14:textId="035D523E" w:rsidR="000B2093" w:rsidRPr="00824A52" w:rsidRDefault="00824A52" w:rsidP="00826244">
      <w:p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>„</w:t>
      </w:r>
      <w:r w:rsidR="000B2093" w:rsidRPr="00824A52">
        <w:rPr>
          <w:rFonts w:asciiTheme="minorHAnsi" w:hAnsiTheme="minorHAnsi"/>
          <w:i/>
          <w:iCs/>
          <w:sz w:val="22"/>
          <w:szCs w:val="22"/>
        </w:rPr>
        <w:t xml:space="preserve">(2) Ordnungsmaßnahmen sind </w:t>
      </w:r>
    </w:p>
    <w:p w14:paraId="43E670EC" w14:textId="76447A5F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Ausschluss vom Unterricht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für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den Rest des Schultages, erforderlichenfalls mit der Verpflichtung, am Unterricht einer anderen Klasse oder Lerngruppe teilzunehmen, </w:t>
      </w:r>
    </w:p>
    <w:p w14:paraId="2249BCC7" w14:textId="41B89442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Ausschluss von besonderen Klassen- oder Schulveranstaltungen sowie vom Unterricht in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Wahlfächern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und freiwilligen Unterrichtsveranstaltungen, </w:t>
      </w:r>
    </w:p>
    <w:p w14:paraId="6BF6A29C" w14:textId="06543D03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vorübergehende Zuweisung in eine Parallelklasse oder in eine andere Lerngruppe bis zu einer Dauer von vier Wochen, </w:t>
      </w:r>
    </w:p>
    <w:p w14:paraId="6FC93D1F" w14:textId="77777777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Zuweisung in eine Parallelklasse oder in eine andere Lerngruppe, </w:t>
      </w:r>
    </w:p>
    <w:p w14:paraId="163AC82C" w14:textId="77777777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vorübergehender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Ausschluss vom Schulbesuch bis zu einer Dauer von zwei Wochen, </w:t>
      </w:r>
    </w:p>
    <w:p w14:paraId="681E07D7" w14:textId="77777777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Überweisung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in den gleichen Bildungsgang einer anderen Schule, </w:t>
      </w:r>
    </w:p>
    <w:p w14:paraId="631FA45C" w14:textId="77777777" w:rsidR="000B2093" w:rsidRPr="00824A52" w:rsidRDefault="000B2093" w:rsidP="00826244">
      <w:pPr>
        <w:pStyle w:val="Listenabsatz"/>
        <w:numPr>
          <w:ilvl w:val="0"/>
          <w:numId w:val="12"/>
        </w:numPr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Verweisung von der besuchten Schule. </w:t>
      </w:r>
    </w:p>
    <w:p w14:paraId="4FF154C8" w14:textId="77777777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Ordnungsmaßnahmen nach Nr. 2 bis 5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können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als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pädagogische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Maßnahme vorher schriftlich angedroht werden. Ordnungsmaßnahmen nach Nr. 6 und 7 sind vorher schriftlich anzudrohen; von der vorherigen Androhung kann im Einzelfall abgesehen werden, wenn dies den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Umständen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des Fehlverhaltens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Schülerin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des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Schülers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nicht mehr angemessen ist. </w:t>
      </w:r>
    </w:p>
    <w:p w14:paraId="784E640E" w14:textId="77777777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(3)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Körperliche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Züchtigung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und andere herabsetzende Maßnahmen sind verboten. </w:t>
      </w:r>
    </w:p>
    <w:p w14:paraId="1CBC17E0" w14:textId="2E28B964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(4) Ordnungsmaßnahmen sind nur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zulässig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>, wenn</w:t>
      </w:r>
      <w:r w:rsidRPr="00824A52">
        <w:rPr>
          <w:rFonts w:asciiTheme="minorHAnsi" w:hAnsiTheme="minorHAnsi"/>
          <w:i/>
          <w:iCs/>
          <w:sz w:val="22"/>
          <w:szCs w:val="22"/>
        </w:rPr>
        <w:br/>
        <w:t xml:space="preserve">1. die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Schülerin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in der Schule schuldhaft gegen eine Rechtsnorm, Verwaltungsanordnung oder die Schulordnung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verstößt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Anweisungen der Schulleiterin oder des Schulleiters, der Lehrerinnen und Lehrer oder sonstiger dazu befugter Personen nicht befolgt, sofern die Anweisungen zur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Erfüllung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des Unterrichts- und Erziehungsauftrags der Schule notwendig sind oder dem Schutz von Personen und Sachen dienen und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pädagogische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Maßnahmen und Mittel sich als wirkungslos erwiesen haben, </w:t>
      </w:r>
    </w:p>
    <w:p w14:paraId="455A6DFE" w14:textId="77777777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(5) Ordnungsmaßnahmen nach Abs. 2 Satz 1 Nr. 2 bis 4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dürfen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nur bei erheblicher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Störung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des Schul- oder Unterrichtsbetriebs, bei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Gefährdung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der Sicherheit beteiligter Personen oder Verursachung erheblicher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Sachschäden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und dadurch bedingter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Beeinträchtigung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von Unterricht und Erziehung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Mitschülerinnen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und -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angewendet werden. Ordnungsmaßnahmen nach Abs. 2 Satz 1 Nr. 5 bis 7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dürfen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nur bei besonders schweren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Störungen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des Schul- oder Unterrichtsbetriebs oder schwerer Verletzung der Sicherheit beteiligter Personen und dadurch bedingter anhaltender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Gefährdung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von Unterricht und Erziehung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Mitschülerinnen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und -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angewendet werden. Neben Maßnahmen des Straf-, Ordnungswidrigkeiten- oder Kinder- und Jugendhilferechts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dürfen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Ordnungsmaßnahmen nach Abs. 2 Satz 1 Nr. 5 bis 7 nur angewendet werden, wenn sie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zusätzlich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erforderlich sind und den Zwecken der anderen Maßnahmen nicht entgegenstehen. </w:t>
      </w:r>
    </w:p>
    <w:p w14:paraId="393A87E9" w14:textId="77777777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(6) Die Anwendung von Ordnungsmaßnahmen soll so rechtzeitig erfolgen, dass der Bezug zum Fehlverhalten nicht verloren geht. Bei Entscheidungen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über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Ordnungsmaßnahmen ist das Verhalten der einzelnen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Schülerin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des einzelnen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Schülers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innerhalb der Schule maßgebend. Außerschulisches Verhalten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Schülerin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des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Schülers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darf nur Gegenstand einer Ordnungsmaßnahme sein, soweit es sich auf den Schul- und Unterrichtsbetrieb unmittelbar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störend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auswirkt. </w:t>
      </w:r>
    </w:p>
    <w:p w14:paraId="157CB8EF" w14:textId="2B99497D" w:rsidR="000B2093" w:rsidRPr="00824A52" w:rsidRDefault="000B2093" w:rsidP="00826244">
      <w:pPr>
        <w:pStyle w:val="StandardWeb"/>
        <w:rPr>
          <w:rFonts w:asciiTheme="minorHAnsi" w:hAnsiTheme="minorHAnsi"/>
          <w:i/>
          <w:iCs/>
          <w:sz w:val="22"/>
          <w:szCs w:val="22"/>
        </w:rPr>
      </w:pPr>
      <w:r w:rsidRPr="00824A52">
        <w:rPr>
          <w:rFonts w:asciiTheme="minorHAnsi" w:hAnsiTheme="minorHAnsi"/>
          <w:i/>
          <w:iCs/>
          <w:sz w:val="22"/>
          <w:szCs w:val="22"/>
        </w:rPr>
        <w:t xml:space="preserve">(7) Kommt eine Ordnungsmaßnahme nach Abs. 2 Satz 1 Nr. 6 und 7 in Betracht, so kann die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Schülerin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oder der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Schüler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von der Schulleiterin oder dem Schulleiter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vorläufig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vom Unterricht und von sonstigen Schulveranstaltungen bis zur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endgültigen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Entscheidung, </w:t>
      </w:r>
      <w:proofErr w:type="spellStart"/>
      <w:r w:rsidRPr="00824A52">
        <w:rPr>
          <w:rFonts w:asciiTheme="minorHAnsi" w:hAnsiTheme="minorHAnsi"/>
          <w:i/>
          <w:iCs/>
          <w:sz w:val="22"/>
          <w:szCs w:val="22"/>
        </w:rPr>
        <w:t>längstens</w:t>
      </w:r>
      <w:proofErr w:type="spellEnd"/>
      <w:r w:rsidRPr="00824A52">
        <w:rPr>
          <w:rFonts w:asciiTheme="minorHAnsi" w:hAnsiTheme="minorHAnsi"/>
          <w:i/>
          <w:iCs/>
          <w:sz w:val="22"/>
          <w:szCs w:val="22"/>
        </w:rPr>
        <w:t xml:space="preserve"> aber bis zu vier Wochen, ausgeschlossen werden, wenn es die Aufrechterhaltung des Schul- oder Unterrichtsbetriebs oder die Sicherheit von Personen erfordert.</w:t>
      </w:r>
      <w:r w:rsidR="00824A52" w:rsidRPr="00824A52">
        <w:rPr>
          <w:rFonts w:asciiTheme="minorHAnsi" w:hAnsiTheme="minorHAnsi"/>
          <w:i/>
          <w:iCs/>
          <w:sz w:val="22"/>
          <w:szCs w:val="22"/>
        </w:rPr>
        <w:t>“</w:t>
      </w:r>
    </w:p>
    <w:p w14:paraId="46701498" w14:textId="33F9A5E4" w:rsidR="00F658FE" w:rsidRPr="00824A52" w:rsidRDefault="00F658FE" w:rsidP="00826244">
      <w:pPr>
        <w:ind w:left="-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658FE" w:rsidRPr="00824A52">
      <w:headerReference w:type="default" r:id="rId8"/>
      <w:footerReference w:type="default" r:id="rId9"/>
      <w:headerReference w:type="first" r:id="rId10"/>
      <w:pgSz w:w="11906" w:h="16838"/>
      <w:pgMar w:top="170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64FE8" w14:textId="77777777" w:rsidR="003F13A9" w:rsidRDefault="003F13A9">
      <w:r>
        <w:separator/>
      </w:r>
    </w:p>
  </w:endnote>
  <w:endnote w:type="continuationSeparator" w:id="0">
    <w:p w14:paraId="485A5D65" w14:textId="77777777" w:rsidR="003F13A9" w:rsidRDefault="003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415F" w14:textId="77777777" w:rsidR="00D334CA" w:rsidRDefault="009935CF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70EBA6AF" w14:textId="77777777" w:rsidR="00D334CA" w:rsidRDefault="009D53C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1" w:name="_Hlk59216548"/>
    <w:bookmarkStart w:id="2" w:name="_Hlk59216369"/>
    <w:bookmarkStart w:id="3" w:name="_Hlk59216370"/>
    <w:bookmarkStart w:id="4" w:name="_Hlk59216376"/>
    <w:bookmarkStart w:id="5" w:name="_Hlk59216377"/>
    <w:bookmarkStart w:id="6" w:name="_Hlk59216386"/>
    <w:bookmarkStart w:id="7" w:name="_Hlk59216387"/>
    <w:bookmarkStart w:id="8" w:name="_Hlk59216483"/>
    <w:bookmarkStart w:id="9" w:name="_Hlk59216484"/>
    <w:bookmarkStart w:id="10" w:name="_Hlk59216491"/>
    <w:bookmarkStart w:id="11" w:name="_Hlk59216492"/>
    <w:bookmarkStart w:id="12" w:name="_Hlk59216502"/>
    <w:bookmarkStart w:id="13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1B668B3A" w14:textId="77777777" w:rsidR="00D334CA" w:rsidRDefault="009D53C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47F7E917" w14:textId="77777777" w:rsidR="00D334CA" w:rsidRDefault="009D53C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1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3C90" w14:textId="77777777" w:rsidR="003F13A9" w:rsidRDefault="003F13A9">
      <w:r>
        <w:rPr>
          <w:color w:val="000000"/>
        </w:rPr>
        <w:separator/>
      </w:r>
    </w:p>
  </w:footnote>
  <w:footnote w:type="continuationSeparator" w:id="0">
    <w:p w14:paraId="2DDAEB8C" w14:textId="77777777" w:rsidR="003F13A9" w:rsidRDefault="003F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A78F" w14:textId="77777777" w:rsidR="00D334CA" w:rsidRDefault="009935CF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2DB5" w14:textId="77777777" w:rsidR="00D334CA" w:rsidRDefault="009D53C6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01746276" wp14:editId="68F1EAA8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4395"/>
          <wp:effectExtent l="0" t="0" r="0" b="0"/>
          <wp:wrapTight wrapText="bothSides">
            <wp:wrapPolygon edited="0">
              <wp:start x="20481" y="0"/>
              <wp:lineTo x="12047" y="6988"/>
              <wp:lineTo x="151" y="14974"/>
              <wp:lineTo x="0" y="20464"/>
              <wp:lineTo x="1205" y="20464"/>
              <wp:lineTo x="2711" y="19466"/>
              <wp:lineTo x="6626" y="17470"/>
              <wp:lineTo x="6626" y="16471"/>
              <wp:lineTo x="16113" y="8485"/>
              <wp:lineTo x="18674" y="8485"/>
              <wp:lineTo x="21234" y="4492"/>
              <wp:lineTo x="21234" y="0"/>
              <wp:lineTo x="20481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23C42C2A" wp14:editId="37DF133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3D3C56" w14:textId="77777777" w:rsidR="00D334CA" w:rsidRDefault="009935CF">
    <w:pPr>
      <w:pStyle w:val="Kopfzeile"/>
    </w:pPr>
  </w:p>
  <w:p w14:paraId="6040A94C" w14:textId="77777777" w:rsidR="00D334CA" w:rsidRDefault="009935CF">
    <w:pPr>
      <w:pStyle w:val="Kopfzeile"/>
    </w:pPr>
  </w:p>
  <w:p w14:paraId="2BABC4C4" w14:textId="77777777" w:rsidR="00D334CA" w:rsidRDefault="009935CF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</w:p>
  <w:p w14:paraId="77A86C37" w14:textId="77777777" w:rsidR="00D334CA" w:rsidRDefault="009D53C6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A8B"/>
    <w:multiLevelType w:val="hybridMultilevel"/>
    <w:tmpl w:val="956A900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CD0225"/>
    <w:multiLevelType w:val="hybridMultilevel"/>
    <w:tmpl w:val="CD5A8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381"/>
    <w:multiLevelType w:val="hybridMultilevel"/>
    <w:tmpl w:val="6EE01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3E7"/>
    <w:multiLevelType w:val="hybridMultilevel"/>
    <w:tmpl w:val="240A1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331"/>
    <w:multiLevelType w:val="multilevel"/>
    <w:tmpl w:val="6A0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52838"/>
    <w:multiLevelType w:val="hybridMultilevel"/>
    <w:tmpl w:val="A94E8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516F"/>
    <w:multiLevelType w:val="hybridMultilevel"/>
    <w:tmpl w:val="C6B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6D5A"/>
    <w:multiLevelType w:val="hybridMultilevel"/>
    <w:tmpl w:val="62DE3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3ECC"/>
    <w:multiLevelType w:val="hybridMultilevel"/>
    <w:tmpl w:val="522A8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73E5"/>
    <w:multiLevelType w:val="hybridMultilevel"/>
    <w:tmpl w:val="57084B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D65D4"/>
    <w:multiLevelType w:val="hybridMultilevel"/>
    <w:tmpl w:val="D938FC1C"/>
    <w:lvl w:ilvl="0" w:tplc="02CC8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07A39"/>
    <w:multiLevelType w:val="multilevel"/>
    <w:tmpl w:val="53F2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47CDA"/>
    <w:multiLevelType w:val="hybridMultilevel"/>
    <w:tmpl w:val="DF52E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58"/>
    <w:rsid w:val="000B2093"/>
    <w:rsid w:val="00151217"/>
    <w:rsid w:val="001F4883"/>
    <w:rsid w:val="002854BC"/>
    <w:rsid w:val="003E78CD"/>
    <w:rsid w:val="003F13A9"/>
    <w:rsid w:val="005A6957"/>
    <w:rsid w:val="005E09D7"/>
    <w:rsid w:val="005F1F58"/>
    <w:rsid w:val="006A1CF0"/>
    <w:rsid w:val="007D1634"/>
    <w:rsid w:val="00824A52"/>
    <w:rsid w:val="00826244"/>
    <w:rsid w:val="009502A6"/>
    <w:rsid w:val="0097410C"/>
    <w:rsid w:val="009D53C6"/>
    <w:rsid w:val="00AB116F"/>
    <w:rsid w:val="00BA5978"/>
    <w:rsid w:val="00C45CC2"/>
    <w:rsid w:val="00D869EC"/>
    <w:rsid w:val="00F658FE"/>
    <w:rsid w:val="00FA263B"/>
    <w:rsid w:val="00F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A"/>
  <w15:docId w15:val="{2ECA19E1-BE01-48EF-ADA4-5ED9557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E09D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paragraph" w:styleId="Listenabsatz">
    <w:name w:val="List Paragraph"/>
    <w:basedOn w:val="Standard"/>
    <w:uiPriority w:val="34"/>
    <w:qFormat/>
    <w:rsid w:val="005E09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D4E6A-D49D-4D47-8233-FCA37C6F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lusd 01.</cp:lastModifiedBy>
  <cp:revision>4</cp:revision>
  <cp:lastPrinted>2021-02-25T11:20:00Z</cp:lastPrinted>
  <dcterms:created xsi:type="dcterms:W3CDTF">2021-05-11T06:32:00Z</dcterms:created>
  <dcterms:modified xsi:type="dcterms:W3CDTF">2021-05-18T09:43:00Z</dcterms:modified>
</cp:coreProperties>
</file>