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44" w:rsidRPr="00C755C6" w:rsidRDefault="00C755C6" w:rsidP="005A4244">
      <w:pPr>
        <w:spacing w:before="0" w:after="0" w:line="240" w:lineRule="auto"/>
        <w:rPr>
          <w:rFonts w:eastAsia="Times New Roman" w:cs="Arial"/>
          <w:color w:val="auto"/>
          <w:sz w:val="36"/>
          <w:szCs w:val="36"/>
          <w:lang w:eastAsia="de-DE"/>
        </w:rPr>
      </w:pPr>
      <w:r w:rsidRPr="00C755C6">
        <w:rPr>
          <w:rFonts w:eastAsia="Times New Roman" w:cs="Arial"/>
          <w:color w:val="auto"/>
          <w:sz w:val="36"/>
          <w:szCs w:val="36"/>
          <w:lang w:eastAsia="de-DE"/>
        </w:rPr>
        <w:t>Ermitteln Etikett zu HNO3 (35%)</w:t>
      </w:r>
    </w:p>
    <w:p w:rsidR="005A4244" w:rsidRDefault="005A4244" w:rsidP="005A4244">
      <w:pPr>
        <w:spacing w:before="0" w:after="0" w:line="240" w:lineRule="auto"/>
        <w:rPr>
          <w:rFonts w:eastAsia="Times New Roman" w:cs="Arial"/>
          <w:color w:val="auto"/>
          <w:sz w:val="32"/>
          <w:szCs w:val="32"/>
          <w:lang w:eastAsia="de-DE"/>
        </w:rPr>
      </w:pPr>
    </w:p>
    <w:tbl>
      <w:tblPr>
        <w:tblStyle w:val="Tabellengitternetz"/>
        <w:tblW w:w="10706" w:type="dxa"/>
        <w:tblLook w:val="04A0"/>
      </w:tblPr>
      <w:tblGrid>
        <w:gridCol w:w="2495"/>
        <w:gridCol w:w="8211"/>
      </w:tblGrid>
      <w:tr w:rsidR="00C755C6" w:rsidRPr="00C700A8" w:rsidTr="00C755C6">
        <w:tc>
          <w:tcPr>
            <w:tcW w:w="10706" w:type="dxa"/>
            <w:gridSpan w:val="2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C700A8">
              <w:rPr>
                <w:rFonts w:eastAsia="Times New Roman" w:cs="Arial"/>
                <w:color w:val="auto"/>
                <w:lang w:eastAsia="de-DE"/>
              </w:rPr>
              <w:t>Bernd Kraft grün: s.o.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H290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Kann gegenüber Metallen korrosiv sein.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H314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Verursacht schwere Verätzungen der Haut und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s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chwere Augenschäden.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P280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Schutzhandschuhe/Schutzkleidung/Augenschutz/Gesic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h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tsschutz tragen.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P260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Staub/Rauch/Gas/Nebel/Dampf/Aerosol nicht einatmen.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P303+P361+P353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BEI KONTAKT MIT DER HAUT (oder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dem Haar): Alle beschmutzten, getränkten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Kleidungsstücke sofort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a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usziehen. Haut mit Wasser abwaschen/duschen.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P305+P351+P338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BEI KONTAKT MIT DEN AUGEN: Einige Minuten lang behutsam mit Wasser spülen.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Vorhandene Kontaktlinsen nach Möglichkeit entfernen. Weiter spülen.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P310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Sofort GIFTINFORMATIONSZENTRUM oder Arzt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a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nrufen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P405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Unter Verschluss aufbewahren.</w:t>
            </w:r>
          </w:p>
        </w:tc>
      </w:tr>
      <w:tr w:rsidR="00C755C6" w:rsidRPr="00C700A8" w:rsidTr="00C755C6">
        <w:tc>
          <w:tcPr>
            <w:tcW w:w="249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cs="Arial"/>
                <w:iCs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P501</w:t>
            </w:r>
          </w:p>
        </w:tc>
        <w:tc>
          <w:tcPr>
            <w:tcW w:w="8211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iCs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Entsorgung des Inhalts / des Behälters gemäß den örtlichen / regionalen /</w:t>
            </w:r>
          </w:p>
          <w:p w:rsidR="00C755C6" w:rsidRPr="00C700A8" w:rsidRDefault="00C755C6" w:rsidP="00C700A8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nationalen/ internationalen Vorschriften.</w:t>
            </w:r>
          </w:p>
        </w:tc>
      </w:tr>
    </w:tbl>
    <w:p w:rsidR="00C755C6" w:rsidRDefault="00C755C6" w:rsidP="005A4244">
      <w:pPr>
        <w:spacing w:before="0" w:after="0" w:line="240" w:lineRule="auto"/>
        <w:rPr>
          <w:rFonts w:eastAsia="Times New Roman" w:cs="Arial"/>
          <w:color w:val="auto"/>
          <w:sz w:val="32"/>
          <w:szCs w:val="32"/>
          <w:lang w:eastAsia="de-DE"/>
        </w:rPr>
      </w:pPr>
    </w:p>
    <w:tbl>
      <w:tblPr>
        <w:tblStyle w:val="Tabellengitternetz"/>
        <w:tblW w:w="10706" w:type="dxa"/>
        <w:tblLook w:val="04A0"/>
      </w:tblPr>
      <w:tblGrid>
        <w:gridCol w:w="2495"/>
        <w:gridCol w:w="8211"/>
      </w:tblGrid>
      <w:tr w:rsidR="00C700A8" w:rsidTr="00EA48D6">
        <w:tc>
          <w:tcPr>
            <w:tcW w:w="10706" w:type="dxa"/>
            <w:gridSpan w:val="2"/>
          </w:tcPr>
          <w:p w:rsidR="00C700A8" w:rsidRPr="005A4244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color w:val="auto"/>
                <w:sz w:val="32"/>
                <w:szCs w:val="32"/>
                <w:lang w:eastAsia="de-DE"/>
              </w:rPr>
              <w:t>Roth (40%ige HNO3)</w:t>
            </w:r>
            <w:r>
              <w:rPr>
                <w:rFonts w:eastAsia="Times New Roman" w:cs="Arial"/>
                <w:color w:val="auto"/>
                <w:sz w:val="32"/>
                <w:szCs w:val="32"/>
                <w:lang w:eastAsia="de-DE"/>
              </w:rPr>
              <w:t xml:space="preserve"> </w:t>
            </w:r>
            <w:r w:rsidRPr="00C700A8">
              <w:rPr>
                <w:rFonts w:eastAsia="Times New Roman" w:cs="Arial"/>
                <w:color w:val="auto"/>
                <w:sz w:val="32"/>
                <w:szCs w:val="32"/>
                <w:highlight w:val="green"/>
                <w:lang w:eastAsia="de-DE"/>
              </w:rPr>
              <w:t>grün</w:t>
            </w:r>
            <w:r>
              <w:rPr>
                <w:rFonts w:eastAsia="Times New Roman" w:cs="Arial"/>
                <w:color w:val="auto"/>
                <w:sz w:val="32"/>
                <w:szCs w:val="32"/>
                <w:lang w:eastAsia="de-DE"/>
              </w:rPr>
              <w:t>: s.o.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H290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Kann gegenüber Metallen korrosiv sein.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H314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Verursacht schwere Verätzungen der Haut und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s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chwere Augenschäden.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P280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Schutzhandschuhe/Schutzkleidung/Augenschutz/Gesic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h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tsschutz tragen.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P260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Staub/Rauch/Gas/Nebel/Dampf/Aerosol nicht einatmen.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P303+P361+P353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BEI KONTAKT MIT DER HAUT (oder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dem Haar): Alle beschmutzten, getränkten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Kleidungsstücke sofort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a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usziehen. Haut mit Wasser abwaschen/duschen.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P305+P351+P338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>BEI KONTAKT MIT DEN AUGEN: Einige Minuten lang behutsam mit Wasser spülen.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Vorhandene Kontaktlinsen nach Möglichkeit entfernen. Weiter spülen.</w:t>
            </w:r>
          </w:p>
        </w:tc>
      </w:tr>
      <w:tr w:rsidR="00C700A8" w:rsidRPr="00C700A8" w:rsidTr="00EA48D6">
        <w:tc>
          <w:tcPr>
            <w:tcW w:w="2495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highlight w:val="green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highlight w:val="green"/>
                <w:lang w:eastAsia="de-DE"/>
              </w:rPr>
              <w:t>P310</w:t>
            </w:r>
          </w:p>
        </w:tc>
        <w:tc>
          <w:tcPr>
            <w:tcW w:w="8211" w:type="dxa"/>
          </w:tcPr>
          <w:p w:rsidR="00C700A8" w:rsidRPr="00C700A8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lang w:eastAsia="de-DE"/>
              </w:rPr>
            </w:pPr>
            <w:r w:rsidRPr="005A4244">
              <w:rPr>
                <w:rFonts w:eastAsia="Times New Roman" w:cs="Arial"/>
                <w:color w:val="auto"/>
                <w:lang w:eastAsia="de-DE"/>
              </w:rPr>
              <w:t xml:space="preserve">Sofort GIFTINFORMATIONSZENTRUM oder Arzt 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a</w:t>
            </w:r>
            <w:r w:rsidRPr="005A4244">
              <w:rPr>
                <w:rFonts w:eastAsia="Times New Roman" w:cs="Arial"/>
                <w:color w:val="auto"/>
                <w:lang w:eastAsia="de-DE"/>
              </w:rPr>
              <w:t>nrufen</w:t>
            </w:r>
            <w:r w:rsidRPr="00C700A8">
              <w:rPr>
                <w:rFonts w:eastAsia="Times New Roman" w:cs="Arial"/>
                <w:color w:val="auto"/>
                <w:lang w:eastAsia="de-DE"/>
              </w:rPr>
              <w:t>.</w:t>
            </w:r>
          </w:p>
        </w:tc>
      </w:tr>
    </w:tbl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32"/>
          <w:szCs w:val="32"/>
          <w:lang w:eastAsia="de-DE"/>
        </w:rPr>
      </w:pPr>
    </w:p>
    <w:p w:rsidR="005A4244" w:rsidRDefault="005A4244" w:rsidP="005A4244">
      <w:pPr>
        <w:spacing w:before="0" w:after="0" w:line="240" w:lineRule="auto"/>
        <w:rPr>
          <w:rFonts w:cs="Arial"/>
          <w:i/>
          <w:iCs/>
          <w:color w:val="auto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7975"/>
      </w:tblGrid>
      <w:tr w:rsidR="00C755C6" w:rsidRPr="00392178" w:rsidTr="00566B30">
        <w:tc>
          <w:tcPr>
            <w:tcW w:w="10480" w:type="dxa"/>
            <w:gridSpan w:val="2"/>
          </w:tcPr>
          <w:p w:rsidR="00C755C6" w:rsidRDefault="00C755C6" w:rsidP="00C755C6">
            <w:pPr>
              <w:spacing w:before="0" w:after="0" w:line="240" w:lineRule="auto"/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</w:pPr>
            <w:r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  <w:t>Merck</w:t>
            </w:r>
          </w:p>
          <w:p w:rsidR="00C755C6" w:rsidRPr="006A1B13" w:rsidRDefault="00C755C6" w:rsidP="00EA48D6">
            <w:pPr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</w:pPr>
          </w:p>
        </w:tc>
      </w:tr>
      <w:tr w:rsidR="00C755C6" w:rsidRPr="00C700A8" w:rsidTr="00EA48D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highlight w:val="green"/>
              </w:rPr>
            </w:pPr>
            <w:r w:rsidRPr="00C700A8">
              <w:rPr>
                <w:rFonts w:cs="Arial"/>
                <w:iCs/>
                <w:color w:val="auto"/>
                <w:highlight w:val="green"/>
                <w:lang w:eastAsia="de-DE"/>
              </w:rPr>
              <w:t>H290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spacing w:before="0" w:after="0"/>
            </w:pPr>
            <w:r w:rsidRPr="00C700A8">
              <w:rPr>
                <w:rFonts w:cs="Arial"/>
                <w:iCs/>
                <w:color w:val="auto"/>
                <w:lang w:eastAsia="de-DE"/>
              </w:rPr>
              <w:t>wie andere</w:t>
            </w:r>
          </w:p>
        </w:tc>
      </w:tr>
      <w:tr w:rsidR="00C755C6" w:rsidRPr="00C700A8" w:rsidTr="00EA48D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highlight w:val="green"/>
              </w:rPr>
            </w:pPr>
            <w:r w:rsidRPr="00C700A8">
              <w:rPr>
                <w:rFonts w:cs="Arial"/>
                <w:iCs/>
                <w:color w:val="auto"/>
                <w:highlight w:val="green"/>
                <w:lang w:eastAsia="de-DE"/>
              </w:rPr>
              <w:t>P280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spacing w:before="0" w:after="0"/>
            </w:pPr>
            <w:r w:rsidRPr="00C700A8">
              <w:rPr>
                <w:rFonts w:cs="Arial"/>
                <w:iCs/>
                <w:color w:val="auto"/>
                <w:lang w:eastAsia="de-DE"/>
              </w:rPr>
              <w:t>wie andere</w:t>
            </w:r>
          </w:p>
        </w:tc>
      </w:tr>
      <w:tr w:rsidR="00C755C6" w:rsidRPr="00C700A8" w:rsidTr="00EA48D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highlight w:val="green"/>
              </w:rPr>
            </w:pPr>
            <w:r w:rsidRPr="00C700A8">
              <w:rPr>
                <w:rFonts w:cs="Arial"/>
                <w:iCs/>
                <w:color w:val="auto"/>
                <w:highlight w:val="green"/>
                <w:lang w:eastAsia="de-DE"/>
              </w:rPr>
              <w:t>P305+P351+P338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spacing w:before="0" w:after="0"/>
            </w:pPr>
            <w:r w:rsidRPr="00C700A8">
              <w:rPr>
                <w:rFonts w:cs="Arial"/>
                <w:iCs/>
                <w:color w:val="auto"/>
                <w:lang w:eastAsia="de-DE"/>
              </w:rPr>
              <w:t>wie andere</w:t>
            </w:r>
          </w:p>
        </w:tc>
      </w:tr>
      <w:tr w:rsidR="00C700A8" w:rsidRPr="00C700A8" w:rsidTr="00EA48D6">
        <w:tc>
          <w:tcPr>
            <w:tcW w:w="2505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</w:rPr>
            </w:pPr>
            <w:r w:rsidRPr="00C700A8">
              <w:rPr>
                <w:rFonts w:cs="Arial"/>
              </w:rPr>
              <w:t>P301 + P330 + P331</w:t>
            </w:r>
          </w:p>
        </w:tc>
        <w:tc>
          <w:tcPr>
            <w:tcW w:w="7975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</w:rPr>
            </w:pPr>
            <w:r w:rsidRPr="00C700A8">
              <w:rPr>
                <w:rFonts w:cs="Arial"/>
              </w:rPr>
              <w:t>BEI VERSCHLUCKEN: Mund ausspülen. KEIN Erbrechen herbeiführen.</w:t>
            </w:r>
          </w:p>
        </w:tc>
      </w:tr>
      <w:tr w:rsidR="00C700A8" w:rsidRPr="00C700A8" w:rsidTr="00C700A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iCs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P309 + P31</w:t>
            </w:r>
            <w:r w:rsidRPr="00C700A8">
              <w:rPr>
                <w:rFonts w:cs="Arial"/>
                <w:iCs/>
                <w:color w:val="auto"/>
                <w:lang w:eastAsia="de-DE"/>
              </w:rPr>
              <w:t>0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A8" w:rsidRPr="00C700A8" w:rsidRDefault="00C700A8" w:rsidP="00C700A8">
            <w:pPr>
              <w:spacing w:before="0" w:after="0"/>
              <w:rPr>
                <w:rFonts w:cs="Arial"/>
                <w:iCs/>
                <w:color w:val="auto"/>
                <w:lang w:eastAsia="de-DE"/>
              </w:rPr>
            </w:pPr>
            <w:r w:rsidRPr="00C700A8">
              <w:rPr>
                <w:rFonts w:cs="Arial"/>
                <w:iCs/>
                <w:color w:val="auto"/>
                <w:lang w:eastAsia="de-DE"/>
              </w:rPr>
              <w:t>BEI EXPOSITION ODER UNWOHLSEIN: GIFTINFORMATIONSZENTRUM oder Arzt anrufen.</w:t>
            </w:r>
          </w:p>
        </w:tc>
      </w:tr>
    </w:tbl>
    <w:p w:rsidR="005A4244" w:rsidRDefault="005A4244" w:rsidP="005A4244">
      <w:pPr>
        <w:spacing w:before="0" w:after="0" w:line="240" w:lineRule="auto"/>
        <w:rPr>
          <w:rFonts w:cs="Arial"/>
          <w:i/>
          <w:iCs/>
          <w:color w:val="auto"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5"/>
        <w:gridCol w:w="7975"/>
      </w:tblGrid>
      <w:tr w:rsidR="00C755C6" w:rsidRPr="00392178" w:rsidTr="00B77A31">
        <w:tc>
          <w:tcPr>
            <w:tcW w:w="10480" w:type="dxa"/>
            <w:gridSpan w:val="2"/>
          </w:tcPr>
          <w:p w:rsidR="00C755C6" w:rsidRDefault="00C755C6" w:rsidP="00C755C6">
            <w:pPr>
              <w:spacing w:before="0" w:after="0" w:line="240" w:lineRule="auto"/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highlight w:val="green"/>
                <w:lang w:eastAsia="de-DE"/>
              </w:rPr>
              <w:t xml:space="preserve">Sigma Aldrich („salpetersaure Lösung (als 32,5%ige HNO3 zum </w:t>
            </w:r>
            <w:proofErr w:type="spellStart"/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highlight w:val="green"/>
                <w:lang w:eastAsia="de-DE"/>
              </w:rPr>
              <w:t>download</w:t>
            </w:r>
            <w:proofErr w:type="spellEnd"/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highlight w:val="green"/>
                <w:lang w:eastAsia="de-DE"/>
              </w:rPr>
              <w:t xml:space="preserve">) </w:t>
            </w:r>
            <w:proofErr w:type="spellStart"/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highlight w:val="green"/>
                <w:lang w:eastAsia="de-DE"/>
              </w:rPr>
              <w:t>ArtNr</w:t>
            </w:r>
            <w:proofErr w:type="spellEnd"/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highlight w:val="green"/>
                <w:lang w:eastAsia="de-DE"/>
              </w:rPr>
              <w:t>. 30772</w:t>
            </w:r>
          </w:p>
          <w:p w:rsidR="00C755C6" w:rsidRPr="005A4244" w:rsidRDefault="00C755C6" w:rsidP="00C755C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auto"/>
                <w:sz w:val="28"/>
                <w:szCs w:val="28"/>
                <w:lang w:eastAsia="de-DE"/>
              </w:rPr>
            </w:pPr>
          </w:p>
        </w:tc>
      </w:tr>
      <w:tr w:rsidR="00C755C6" w:rsidRPr="00C700A8" w:rsidTr="00C755C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highlight w:val="green"/>
              </w:rPr>
            </w:pPr>
            <w:r w:rsidRPr="00C700A8">
              <w:rPr>
                <w:rFonts w:cs="Arial"/>
                <w:color w:val="auto"/>
                <w:highlight w:val="green"/>
                <w:lang w:eastAsia="de-DE"/>
              </w:rPr>
              <w:t>H314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C700A8">
              <w:rPr>
                <w:rFonts w:cs="Arial"/>
                <w:color w:val="auto"/>
                <w:lang w:eastAsia="de-DE"/>
              </w:rPr>
              <w:t>Verursacht schwere Verätzungen der Haut und schwere Augenschäden.</w:t>
            </w:r>
          </w:p>
        </w:tc>
      </w:tr>
      <w:tr w:rsidR="00C755C6" w:rsidRPr="00C700A8" w:rsidTr="00C755C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highlight w:val="green"/>
              </w:rPr>
            </w:pPr>
            <w:r w:rsidRPr="00C700A8">
              <w:rPr>
                <w:rFonts w:cs="Arial"/>
                <w:color w:val="auto"/>
                <w:highlight w:val="green"/>
                <w:lang w:eastAsia="de-DE"/>
              </w:rPr>
              <w:t>P280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C700A8">
              <w:rPr>
                <w:rFonts w:cs="Arial"/>
                <w:color w:val="auto"/>
                <w:lang w:eastAsia="de-DE"/>
              </w:rPr>
              <w:t>Schutzhandschuhe/ Schutzkleidung/ Augenschutz/ Gesichtsschutz tragen.</w:t>
            </w:r>
          </w:p>
        </w:tc>
      </w:tr>
      <w:tr w:rsidR="00C755C6" w:rsidRPr="00C700A8" w:rsidTr="00C755C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color w:val="auto"/>
                <w:highlight w:val="green"/>
                <w:lang w:eastAsia="de-DE"/>
              </w:rPr>
            </w:pPr>
            <w:r w:rsidRPr="00C700A8">
              <w:rPr>
                <w:rFonts w:cs="Arial"/>
                <w:color w:val="auto"/>
                <w:highlight w:val="green"/>
                <w:lang w:eastAsia="de-DE"/>
              </w:rPr>
              <w:t>P305 + P351 + P338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auto"/>
                <w:lang w:eastAsia="de-DE"/>
              </w:rPr>
            </w:pPr>
            <w:r w:rsidRPr="00C700A8">
              <w:rPr>
                <w:rFonts w:cs="Arial"/>
                <w:color w:val="auto"/>
                <w:lang w:eastAsia="de-DE"/>
              </w:rPr>
              <w:t>BEI KONTAKT MIT DEN AUGEN: Einige Minuten lang behutsam mit Wasser spülen. Vorhandene Kontaktlinsen nach Möglichkeit entfernen. Weiter spülen.</w:t>
            </w:r>
          </w:p>
        </w:tc>
      </w:tr>
      <w:tr w:rsidR="00C755C6" w:rsidRPr="00C700A8" w:rsidTr="00C755C6">
        <w:tc>
          <w:tcPr>
            <w:tcW w:w="2505" w:type="dxa"/>
          </w:tcPr>
          <w:p w:rsidR="00C755C6" w:rsidRPr="00C700A8" w:rsidRDefault="00C755C6" w:rsidP="00C700A8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highlight w:val="green"/>
              </w:rPr>
            </w:pPr>
            <w:r w:rsidRPr="00C700A8">
              <w:rPr>
                <w:rFonts w:cs="Arial"/>
                <w:color w:val="auto"/>
                <w:highlight w:val="green"/>
                <w:lang w:eastAsia="de-DE"/>
              </w:rPr>
              <w:t>P310</w:t>
            </w:r>
          </w:p>
        </w:tc>
        <w:tc>
          <w:tcPr>
            <w:tcW w:w="7975" w:type="dxa"/>
          </w:tcPr>
          <w:p w:rsidR="00C755C6" w:rsidRPr="00C700A8" w:rsidRDefault="00C755C6" w:rsidP="00C700A8">
            <w:pPr>
              <w:spacing w:before="0" w:after="0" w:line="240" w:lineRule="auto"/>
              <w:rPr>
                <w:rFonts w:cs="Arial"/>
              </w:rPr>
            </w:pPr>
            <w:r w:rsidRPr="00C700A8">
              <w:rPr>
                <w:rFonts w:cs="Arial"/>
                <w:color w:val="auto"/>
                <w:lang w:eastAsia="de-DE"/>
              </w:rPr>
              <w:t>Sofort GIFTINFORMATIONSZENTRUM oder Arzt anrufen.</w:t>
            </w:r>
          </w:p>
        </w:tc>
      </w:tr>
    </w:tbl>
    <w:p w:rsidR="00C755C6" w:rsidRDefault="00C755C6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tbl>
      <w:tblPr>
        <w:tblStyle w:val="Tabellengitternetz"/>
        <w:tblW w:w="10706" w:type="dxa"/>
        <w:tblLook w:val="04A0"/>
      </w:tblPr>
      <w:tblGrid>
        <w:gridCol w:w="2458"/>
        <w:gridCol w:w="8248"/>
      </w:tblGrid>
      <w:tr w:rsidR="00C700A8" w:rsidTr="00C700A8">
        <w:tc>
          <w:tcPr>
            <w:tcW w:w="10706" w:type="dxa"/>
            <w:gridSpan w:val="2"/>
          </w:tcPr>
          <w:p w:rsidR="00C700A8" w:rsidRPr="005A4244" w:rsidRDefault="00C700A8" w:rsidP="00EA48D6">
            <w:pPr>
              <w:spacing w:before="0" w:after="0" w:line="240" w:lineRule="auto"/>
              <w:rPr>
                <w:rFonts w:eastAsia="Times New Roman" w:cs="Arial"/>
                <w:color w:val="auto"/>
                <w:sz w:val="32"/>
                <w:szCs w:val="32"/>
                <w:lang w:eastAsia="de-DE"/>
              </w:rPr>
            </w:pPr>
            <w:r>
              <w:rPr>
                <w:rFonts w:eastAsia="Times New Roman" w:cs="Arial"/>
                <w:color w:val="auto"/>
                <w:sz w:val="32"/>
                <w:szCs w:val="32"/>
                <w:lang w:eastAsia="de-DE"/>
              </w:rPr>
              <w:t>Synthese aller SDBs für das eigene Etikett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H290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Kann gegenüber Metallen korrosiv sein.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H314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Verursacht schwere Verätzungen der Haut und 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s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chwere Augenschäden.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P280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Schutzhandschuhe/Schutzkleidung/Augenschutz/Gesic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h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tsschutz tragen.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P260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Staub/Rauch/Gas/Nebel/Dampf/Aerosol nicht einatmen.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i/>
                <w:sz w:val="24"/>
                <w:szCs w:val="24"/>
              </w:rPr>
            </w:pPr>
            <w:r w:rsidRPr="00C700A8">
              <w:rPr>
                <w:rFonts w:cs="Arial"/>
                <w:i/>
                <w:sz w:val="24"/>
                <w:szCs w:val="24"/>
              </w:rPr>
              <w:t>P301 + P330 + P331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i/>
                <w:sz w:val="28"/>
                <w:szCs w:val="28"/>
              </w:rPr>
            </w:pPr>
            <w:r w:rsidRPr="00C700A8">
              <w:rPr>
                <w:rFonts w:cs="Arial"/>
                <w:i/>
                <w:sz w:val="28"/>
                <w:szCs w:val="28"/>
              </w:rPr>
              <w:t>BEI VERSCHLUCKEN: Mund ausspülen. KEIN Erbrechen herbeiführen.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P303+P361+P353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BEI KONTAKT MIT DER HAUT (oder 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dem Haar): Alle beschmutzten, getränkten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Kleidungsstücke sofort 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 a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usziehen. Haut mit Wasser abwaschen/duschen.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P305+P351+P338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BEI KONTAKT MIT DEN AUGEN: Einige Minuten lang behutsam mit Wasser spülen.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 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Vorhandene Kontaktlinsen nach Möglichkeit entfernen. Weiter spülen.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  <w:t>P310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 xml:space="preserve">Sofort GIFTINFORMATIONSZENTRUM oder Arzt 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a</w:t>
            </w:r>
            <w:r w:rsidRPr="005A4244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nrufen</w:t>
            </w:r>
            <w:r w:rsidRPr="00C700A8"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  <w:t>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i/>
                <w:iCs/>
                <w:color w:val="auto"/>
                <w:sz w:val="24"/>
                <w:szCs w:val="24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4"/>
                <w:szCs w:val="24"/>
                <w:lang w:eastAsia="de-DE"/>
              </w:rPr>
              <w:t>P309 + P310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  <w:t>BEI EXPOSITION ODER UNWOHLSEIN: GIFTINFORMATIONSZENTRUM oder Arzt anrufen.</w:t>
            </w:r>
          </w:p>
        </w:tc>
      </w:tr>
      <w:tr w:rsidR="00C700A8" w:rsidRPr="00C700A8" w:rsidTr="00C700A8"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eastAsia="Times New Roman" w:cs="Arial"/>
                <w:i/>
                <w:color w:val="auto"/>
                <w:sz w:val="24"/>
                <w:szCs w:val="24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4"/>
                <w:szCs w:val="24"/>
                <w:lang w:eastAsia="de-DE"/>
              </w:rPr>
              <w:t>P405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  <w:t>Unter Verschluss aufbewahren.</w:t>
            </w:r>
          </w:p>
        </w:tc>
      </w:tr>
      <w:tr w:rsidR="00C700A8" w:rsidRPr="00C700A8" w:rsidTr="00C700A8">
        <w:trPr>
          <w:trHeight w:val="597"/>
        </w:trPr>
        <w:tc>
          <w:tcPr>
            <w:tcW w:w="2458" w:type="dxa"/>
          </w:tcPr>
          <w:p w:rsidR="00C700A8" w:rsidRPr="00C700A8" w:rsidRDefault="00C700A8" w:rsidP="00C700A8">
            <w:pPr>
              <w:spacing w:before="0" w:after="0" w:line="240" w:lineRule="auto"/>
              <w:rPr>
                <w:rFonts w:cs="Arial"/>
                <w:i/>
                <w:iCs/>
                <w:color w:val="auto"/>
                <w:sz w:val="24"/>
                <w:szCs w:val="24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4"/>
                <w:szCs w:val="24"/>
                <w:lang w:eastAsia="de-DE"/>
              </w:rPr>
              <w:t>P501</w:t>
            </w:r>
          </w:p>
        </w:tc>
        <w:tc>
          <w:tcPr>
            <w:tcW w:w="8248" w:type="dxa"/>
          </w:tcPr>
          <w:p w:rsidR="00C700A8" w:rsidRPr="00C700A8" w:rsidRDefault="00C700A8" w:rsidP="00C700A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i/>
                <w:color w:val="auto"/>
                <w:sz w:val="28"/>
                <w:szCs w:val="28"/>
                <w:lang w:eastAsia="de-DE"/>
              </w:rPr>
            </w:pPr>
            <w:r w:rsidRPr="00C700A8">
              <w:rPr>
                <w:rFonts w:cs="Arial"/>
                <w:i/>
                <w:iCs/>
                <w:color w:val="auto"/>
                <w:sz w:val="28"/>
                <w:szCs w:val="28"/>
                <w:lang w:eastAsia="de-DE"/>
              </w:rPr>
              <w:t>Entsorgung des Inhalts / des Behälters gemäß den örtlichen / regionalen /nationalen/ internationalen Vorschriften.</w:t>
            </w:r>
          </w:p>
        </w:tc>
      </w:tr>
    </w:tbl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</w:p>
    <w:p w:rsidR="00C700A8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  <w:r>
        <w:rPr>
          <w:rFonts w:eastAsia="Times New Roman" w:cs="Arial"/>
          <w:color w:val="auto"/>
          <w:sz w:val="28"/>
          <w:szCs w:val="28"/>
          <w:lang w:eastAsia="de-DE"/>
        </w:rPr>
        <w:t>Außer dem 65%-</w:t>
      </w:r>
      <w:proofErr w:type="spellStart"/>
      <w:r>
        <w:rPr>
          <w:rFonts w:eastAsia="Times New Roman" w:cs="Arial"/>
          <w:color w:val="auto"/>
          <w:sz w:val="28"/>
          <w:szCs w:val="28"/>
          <w:lang w:eastAsia="de-DE"/>
        </w:rPr>
        <w:t>Eti</w:t>
      </w:r>
      <w:proofErr w:type="spellEnd"/>
      <w:r>
        <w:rPr>
          <w:rFonts w:eastAsia="Times New Roman" w:cs="Arial"/>
          <w:color w:val="auto"/>
          <w:sz w:val="28"/>
          <w:szCs w:val="28"/>
          <w:lang w:eastAsia="de-DE"/>
        </w:rPr>
        <w:t xml:space="preserve"> und div. Verdünnten Lösungen (unter 2Mol/L) ist in GISS nichts zu finden!!!!!!!!!!!!!!!!!!!!!!!!!!!!!!!!!!!!!!!!!!!!!!!!!!!!!!!!!!!!!!!!!!!!!</w:t>
      </w:r>
    </w:p>
    <w:p w:rsidR="00C700A8" w:rsidRPr="005A4244" w:rsidRDefault="00C700A8" w:rsidP="005A4244">
      <w:pPr>
        <w:spacing w:before="0" w:after="0" w:line="240" w:lineRule="auto"/>
        <w:rPr>
          <w:rFonts w:eastAsia="Times New Roman" w:cs="Arial"/>
          <w:color w:val="auto"/>
          <w:sz w:val="28"/>
          <w:szCs w:val="28"/>
          <w:lang w:eastAsia="de-DE"/>
        </w:rPr>
      </w:pPr>
      <w:r>
        <w:rPr>
          <w:rFonts w:eastAsia="Times New Roman" w:cs="Arial"/>
          <w:noProof/>
          <w:color w:val="auto"/>
          <w:sz w:val="28"/>
          <w:szCs w:val="28"/>
          <w:lang w:eastAsia="de-DE"/>
        </w:rPr>
        <w:drawing>
          <wp:inline distT="0" distB="0" distL="0" distR="0">
            <wp:extent cx="6659880" cy="3642360"/>
            <wp:effectExtent l="1905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0A8" w:rsidRPr="005A4244" w:rsidSect="00C755C6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A4244"/>
    <w:rsid w:val="000346F9"/>
    <w:rsid w:val="000505DF"/>
    <w:rsid w:val="001333F6"/>
    <w:rsid w:val="003C2437"/>
    <w:rsid w:val="005A4244"/>
    <w:rsid w:val="007B7434"/>
    <w:rsid w:val="00850B78"/>
    <w:rsid w:val="009968D7"/>
    <w:rsid w:val="009D5D26"/>
    <w:rsid w:val="00C271F7"/>
    <w:rsid w:val="00C700A8"/>
    <w:rsid w:val="00C755C6"/>
    <w:rsid w:val="00D6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2437"/>
    <w:pPr>
      <w:spacing w:before="60" w:after="60" w:line="288" w:lineRule="auto"/>
    </w:pPr>
    <w:rPr>
      <w:color w:val="000000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46F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346F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color w:val="auto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34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46F9"/>
    <w:rPr>
      <w:rFonts w:ascii="Times New Roman" w:eastAsia="Times New Roman" w:hAnsi="Times New Roman" w:cs="Times New Roman"/>
      <w:b/>
      <w:bCs/>
      <w:color w:val="auto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346F9"/>
    <w:pPr>
      <w:ind w:left="720"/>
      <w:contextualSpacing/>
    </w:pPr>
  </w:style>
  <w:style w:type="paragraph" w:customStyle="1" w:styleId="Lcke">
    <w:name w:val="Lücke"/>
    <w:basedOn w:val="berschrift1"/>
    <w:qFormat/>
    <w:rsid w:val="000346F9"/>
    <w:pPr>
      <w:keepLines w:val="0"/>
    </w:pPr>
    <w:rPr>
      <w:rFonts w:ascii="Arial" w:hAnsi="Arial" w:cs="Arial"/>
      <w:b w:val="0"/>
      <w:color w:val="FF0000"/>
      <w:kern w:val="32"/>
      <w:sz w:val="24"/>
      <w:szCs w:val="24"/>
    </w:rPr>
  </w:style>
  <w:style w:type="paragraph" w:customStyle="1" w:styleId="Tabellenlcke">
    <w:name w:val="Tabellenlücke"/>
    <w:autoRedefine/>
    <w:qFormat/>
    <w:rsid w:val="000346F9"/>
    <w:pPr>
      <w:spacing w:line="264" w:lineRule="auto"/>
    </w:pPr>
    <w:rPr>
      <w:rFonts w:eastAsia="Times New Roman"/>
      <w:b/>
      <w:bCs/>
      <w:color w:val="FF0000"/>
      <w:spacing w:val="58"/>
      <w:kern w:val="32"/>
      <w:sz w:val="24"/>
      <w:szCs w:val="24"/>
      <w:u w:color="000000"/>
    </w:rPr>
  </w:style>
  <w:style w:type="paragraph" w:customStyle="1" w:styleId="Formatvorlage1">
    <w:name w:val="Formatvorlage1"/>
    <w:basedOn w:val="Standard"/>
    <w:qFormat/>
    <w:rsid w:val="003C2437"/>
    <w:pPr>
      <w:widowControl w:val="0"/>
      <w:jc w:val="both"/>
    </w:pPr>
    <w:rPr>
      <w:rFonts w:cs="Arial"/>
    </w:rPr>
  </w:style>
  <w:style w:type="table" w:styleId="Tabellengitternetz">
    <w:name w:val="Table Grid"/>
    <w:basedOn w:val="NormaleTabelle"/>
    <w:uiPriority w:val="59"/>
    <w:rsid w:val="005A4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0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0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</dc:creator>
  <cp:lastModifiedBy>Torsten</cp:lastModifiedBy>
  <cp:revision>1</cp:revision>
  <dcterms:created xsi:type="dcterms:W3CDTF">2015-07-28T17:10:00Z</dcterms:created>
  <dcterms:modified xsi:type="dcterms:W3CDTF">2015-07-28T17:41:00Z</dcterms:modified>
</cp:coreProperties>
</file>